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6CA47" w14:textId="1B8EF798" w:rsidR="008A1CA0" w:rsidRDefault="00EC019A" w:rsidP="008A1CA0">
      <w:pPr>
        <w:pStyle w:val="Heading1"/>
        <w:rPr>
          <w:sz w:val="36"/>
          <w:szCs w:val="36"/>
        </w:rPr>
      </w:pPr>
      <w:r>
        <w:rPr>
          <w:sz w:val="36"/>
          <w:szCs w:val="36"/>
        </w:rPr>
        <w:t>“BIRDS OF A FEATHER”</w:t>
      </w:r>
      <w:r w:rsidR="007E7392">
        <w:rPr>
          <w:sz w:val="36"/>
          <w:szCs w:val="36"/>
        </w:rPr>
        <w:t xml:space="preserve"> DISCUSSION GROUP</w:t>
      </w:r>
      <w:r>
        <w:rPr>
          <w:sz w:val="36"/>
          <w:szCs w:val="36"/>
        </w:rPr>
        <w:t>S</w:t>
      </w:r>
    </w:p>
    <w:p w14:paraId="1B2C80BB" w14:textId="15534EEB" w:rsidR="00651CC0" w:rsidRDefault="00651CC0" w:rsidP="00651CC0">
      <w:pPr>
        <w:pStyle w:val="Heading2"/>
      </w:pPr>
      <w:r w:rsidRPr="006F5A70">
        <w:rPr>
          <w:u w:val="single"/>
        </w:rPr>
        <w:t>Topic</w:t>
      </w:r>
      <w:r>
        <w:t>: Research</w:t>
      </w:r>
    </w:p>
    <w:p w14:paraId="663EC825" w14:textId="77777777" w:rsidR="00651CC0" w:rsidRDefault="00651CC0" w:rsidP="00651CC0">
      <w:pPr>
        <w:pStyle w:val="ListParagraph"/>
        <w:numPr>
          <w:ilvl w:val="0"/>
          <w:numId w:val="3"/>
        </w:numPr>
        <w:spacing w:after="0" w:line="240" w:lineRule="auto"/>
      </w:pPr>
      <w:r>
        <w:t>Research has too often been relegated to be something that will happen once our digitization workflows have run to completion.  A "build it and they will come" mentality; not ideal.</w:t>
      </w:r>
    </w:p>
    <w:p w14:paraId="0A37D576" w14:textId="77777777" w:rsidR="00651CC0" w:rsidRDefault="00651CC0" w:rsidP="00651CC0">
      <w:pPr>
        <w:pStyle w:val="ListParagraph"/>
        <w:numPr>
          <w:ilvl w:val="0"/>
          <w:numId w:val="3"/>
        </w:numPr>
        <w:spacing w:after="0" w:line="240" w:lineRule="auto"/>
      </w:pPr>
      <w:r>
        <w:t xml:space="preserve">Instead, potential research uses should be considered right up front, to be sure we capture the right data and make them available in the most useful ways.  </w:t>
      </w:r>
    </w:p>
    <w:p w14:paraId="1B04D0D5" w14:textId="77777777" w:rsidR="00651CC0" w:rsidRDefault="00651CC0" w:rsidP="00651CC0">
      <w:pPr>
        <w:pStyle w:val="ListParagraph"/>
        <w:numPr>
          <w:ilvl w:val="1"/>
          <w:numId w:val="3"/>
        </w:numPr>
        <w:spacing w:after="0" w:line="240" w:lineRule="auto"/>
      </w:pPr>
      <w:r>
        <w:t>"</w:t>
      </w:r>
      <w:proofErr w:type="spellStart"/>
      <w:r>
        <w:t>Inreach</w:t>
      </w:r>
      <w:proofErr w:type="spellEnd"/>
      <w:r>
        <w:t xml:space="preserve">" = outreach to the scientific community.  Don't necessarily provide data in the way our user community </w:t>
      </w:r>
      <w:r w:rsidRPr="007E29EA">
        <w:rPr>
          <w:u w:val="single"/>
        </w:rPr>
        <w:t>currently</w:t>
      </w:r>
      <w:r>
        <w:t xml:space="preserve"> thinks might be useful, but in ways they</w:t>
      </w:r>
      <w:r w:rsidRPr="007E29EA">
        <w:rPr>
          <w:u w:val="single"/>
        </w:rPr>
        <w:t xml:space="preserve"> shoul</w:t>
      </w:r>
      <w:r w:rsidRPr="00D10E30">
        <w:rPr>
          <w:u w:val="single"/>
        </w:rPr>
        <w:t>d</w:t>
      </w:r>
      <w:r>
        <w:t xml:space="preserve"> fine useful.  </w:t>
      </w:r>
    </w:p>
    <w:p w14:paraId="22CC415D" w14:textId="77777777" w:rsidR="00651CC0" w:rsidRDefault="00651CC0" w:rsidP="00651CC0">
      <w:pPr>
        <w:pStyle w:val="ListParagraph"/>
        <w:numPr>
          <w:ilvl w:val="1"/>
          <w:numId w:val="3"/>
        </w:numPr>
        <w:spacing w:after="0" w:line="240" w:lineRule="auto"/>
      </w:pPr>
      <w:r>
        <w:t>Educate our scientific users to use specimen data optimally.</w:t>
      </w:r>
    </w:p>
    <w:p w14:paraId="10F4594A" w14:textId="77777777" w:rsidR="00651CC0" w:rsidRDefault="00651CC0" w:rsidP="00651CC0">
      <w:pPr>
        <w:pStyle w:val="ListParagraph"/>
        <w:numPr>
          <w:ilvl w:val="1"/>
          <w:numId w:val="3"/>
        </w:numPr>
        <w:spacing w:after="0" w:line="240" w:lineRule="auto"/>
      </w:pPr>
      <w:r>
        <w:t>Enable and encourage new and more rigorous research approaches</w:t>
      </w:r>
    </w:p>
    <w:p w14:paraId="091230D2" w14:textId="77777777" w:rsidR="00651CC0" w:rsidRDefault="00651CC0" w:rsidP="00651CC0">
      <w:pPr>
        <w:pStyle w:val="ListParagraph"/>
        <w:numPr>
          <w:ilvl w:val="1"/>
          <w:numId w:val="3"/>
        </w:numPr>
        <w:spacing w:after="0" w:line="240" w:lineRule="auto"/>
      </w:pPr>
      <w:r>
        <w:t>NSF expects exemplary research results to appear right away</w:t>
      </w:r>
    </w:p>
    <w:p w14:paraId="65F078A1" w14:textId="77777777" w:rsidR="00651CC0" w:rsidRDefault="00651CC0" w:rsidP="00651CC0">
      <w:pPr>
        <w:pStyle w:val="ListParagraph"/>
        <w:numPr>
          <w:ilvl w:val="0"/>
          <w:numId w:val="3"/>
        </w:numPr>
        <w:spacing w:after="0" w:line="240" w:lineRule="auto"/>
      </w:pPr>
      <w:r>
        <w:t>Two examples where database design elements could be very helpful in enabling and guiding good research were discussed:</w:t>
      </w:r>
    </w:p>
    <w:p w14:paraId="14A1F1C9" w14:textId="77777777" w:rsidR="00651CC0" w:rsidRDefault="00651CC0" w:rsidP="00651CC0">
      <w:pPr>
        <w:pStyle w:val="ListParagraph"/>
        <w:numPr>
          <w:ilvl w:val="1"/>
          <w:numId w:val="3"/>
        </w:numPr>
        <w:spacing w:after="0" w:line="240" w:lineRule="auto"/>
      </w:pPr>
      <w:r w:rsidRPr="00D44B46">
        <w:rPr>
          <w:b/>
        </w:rPr>
        <w:t>Taxonomy/systematics</w:t>
      </w:r>
      <w:r>
        <w:t xml:space="preserve"> -- There are two parts to this problem, one tough but being solved by several groups (taxonomic </w:t>
      </w:r>
      <w:r w:rsidRPr="009D334C">
        <w:rPr>
          <w:i/>
        </w:rPr>
        <w:t>name</w:t>
      </w:r>
      <w:r>
        <w:t xml:space="preserve"> reconciliation), the other </w:t>
      </w:r>
      <w:r w:rsidRPr="00F219D3">
        <w:rPr>
          <w:i/>
        </w:rPr>
        <w:t>very</w:t>
      </w:r>
      <w:r>
        <w:t xml:space="preserve"> tough and currently remaining unsolved by anyone (taxonomic </w:t>
      </w:r>
      <w:r w:rsidRPr="00F219D3">
        <w:rPr>
          <w:i/>
        </w:rPr>
        <w:t>concept</w:t>
      </w:r>
      <w:r>
        <w:t xml:space="preserve"> </w:t>
      </w:r>
      <w:proofErr w:type="spellStart"/>
      <w:r>
        <w:t>reconcilitation</w:t>
      </w:r>
      <w:proofErr w:type="spellEnd"/>
      <w:r>
        <w:t>).</w:t>
      </w:r>
    </w:p>
    <w:p w14:paraId="23C57261" w14:textId="77777777" w:rsidR="00651CC0" w:rsidRDefault="00651CC0" w:rsidP="00651CC0">
      <w:pPr>
        <w:pStyle w:val="ListParagraph"/>
        <w:numPr>
          <w:ilvl w:val="2"/>
          <w:numId w:val="3"/>
        </w:numPr>
        <w:spacing w:after="0" w:line="240" w:lineRule="auto"/>
      </w:pPr>
      <w:r>
        <w:t xml:space="preserve">There is a major need for a complete name registry so that all digitizers are using the same authority file.  Some clades (e.g., plants) have good existing nomenclatorial resources (e.g., </w:t>
      </w:r>
      <w:proofErr w:type="spellStart"/>
      <w:r>
        <w:t>Tropicos</w:t>
      </w:r>
      <w:proofErr w:type="spellEnd"/>
      <w:r>
        <w:t xml:space="preserve">), other clades (e.g., invertebrates) have no or poor resources. </w:t>
      </w:r>
      <w:proofErr w:type="gramStart"/>
      <w:r>
        <w:t>iDigBio</w:t>
      </w:r>
      <w:proofErr w:type="gramEnd"/>
      <w:r>
        <w:t xml:space="preserve"> could help the latter.</w:t>
      </w:r>
    </w:p>
    <w:p w14:paraId="68C1BC37" w14:textId="77777777" w:rsidR="00651CC0" w:rsidRDefault="00651CC0" w:rsidP="00651CC0">
      <w:pPr>
        <w:pStyle w:val="ListParagraph"/>
        <w:numPr>
          <w:ilvl w:val="2"/>
          <w:numId w:val="3"/>
        </w:numPr>
        <w:spacing w:after="0" w:line="240" w:lineRule="auto"/>
      </w:pPr>
      <w:proofErr w:type="spellStart"/>
      <w:r>
        <w:t>TNRS</w:t>
      </w:r>
      <w:proofErr w:type="spellEnd"/>
      <w:r>
        <w:t xml:space="preserve"> </w:t>
      </w:r>
      <w:proofErr w:type="spellStart"/>
      <w:r>
        <w:t>iPlant</w:t>
      </w:r>
      <w:proofErr w:type="spellEnd"/>
      <w:r>
        <w:t xml:space="preserve"> name service -- solves name</w:t>
      </w:r>
      <w:r w:rsidRPr="00F219D3">
        <w:t xml:space="preserve"> </w:t>
      </w:r>
      <w:r>
        <w:t xml:space="preserve">reconciliation issue at least.  Merges multiple lists.  Allow people to use different taxonomy tree.  </w:t>
      </w:r>
      <w:proofErr w:type="spellStart"/>
      <w:proofErr w:type="gramStart"/>
      <w:r>
        <w:t>iPlant</w:t>
      </w:r>
      <w:proofErr w:type="spellEnd"/>
      <w:proofErr w:type="gramEnd"/>
      <w:r>
        <w:t xml:space="preserve"> or iDigBio are not arbiter of correct name; they should just present different taxonomies and let people choose.  Actually providing an accepted classification for a group is a better role for a regional (e.g., Consortium of California Herbaria) or taxon-based (e.g., </w:t>
      </w:r>
      <w:proofErr w:type="spellStart"/>
      <w:r>
        <w:t>Solanum</w:t>
      </w:r>
      <w:proofErr w:type="spellEnd"/>
      <w:r>
        <w:t xml:space="preserve"> </w:t>
      </w:r>
      <w:proofErr w:type="spellStart"/>
      <w:r>
        <w:t>PBI</w:t>
      </w:r>
      <w:proofErr w:type="spellEnd"/>
      <w:r>
        <w:t>) group.</w:t>
      </w:r>
    </w:p>
    <w:p w14:paraId="6B5E8709" w14:textId="77777777" w:rsidR="00651CC0" w:rsidRDefault="00651CC0" w:rsidP="00651CC0">
      <w:pPr>
        <w:pStyle w:val="ListParagraph"/>
        <w:numPr>
          <w:ilvl w:val="2"/>
          <w:numId w:val="3"/>
        </w:numPr>
        <w:spacing w:after="0" w:line="240" w:lineRule="auto"/>
      </w:pPr>
      <w:r>
        <w:t>It is very challenging to put "the best" taxon name on a particular specimen (unless it is a type specimen; then it is easy).  Not clear what "the best" means anyway; there never is or will be a final, perfect taxonomy -- it is always subject to revision.</w:t>
      </w:r>
    </w:p>
    <w:p w14:paraId="246F442E" w14:textId="77777777" w:rsidR="00651CC0" w:rsidRDefault="00651CC0" w:rsidP="00651CC0">
      <w:pPr>
        <w:pStyle w:val="ListParagraph"/>
        <w:numPr>
          <w:ilvl w:val="2"/>
          <w:numId w:val="3"/>
        </w:numPr>
        <w:spacing w:after="0" w:line="240" w:lineRule="auto"/>
      </w:pPr>
      <w:r>
        <w:t xml:space="preserve">Therefore we need to include "according to the concept of _____" in the database along with a name.  Two ways to specify taxon concept: characters, or a new approach using annotation history (especially specimens annotated by monographers).  </w:t>
      </w:r>
    </w:p>
    <w:p w14:paraId="5B975F5E" w14:textId="77777777" w:rsidR="00651CC0" w:rsidRDefault="00651CC0" w:rsidP="00651CC0">
      <w:pPr>
        <w:pStyle w:val="ListParagraph"/>
        <w:numPr>
          <w:ilvl w:val="2"/>
          <w:numId w:val="3"/>
        </w:numPr>
        <w:spacing w:after="0" w:line="240" w:lineRule="auto"/>
      </w:pPr>
      <w:r>
        <w:t xml:space="preserve">Therefore it is very important to keep annotation history in DB.  </w:t>
      </w:r>
    </w:p>
    <w:p w14:paraId="59327E00" w14:textId="77777777" w:rsidR="00651CC0" w:rsidRDefault="00651CC0" w:rsidP="00651CC0">
      <w:pPr>
        <w:pStyle w:val="ListParagraph"/>
        <w:numPr>
          <w:ilvl w:val="2"/>
          <w:numId w:val="3"/>
        </w:numPr>
        <w:spacing w:after="0" w:line="240" w:lineRule="auto"/>
      </w:pPr>
      <w:r>
        <w:t xml:space="preserve">Problems with complex synonymy are more or less problematic in different groups depending on biology and history of study. </w:t>
      </w:r>
    </w:p>
    <w:p w14:paraId="0118B293" w14:textId="77777777" w:rsidR="00651CC0" w:rsidRDefault="00651CC0" w:rsidP="00651CC0">
      <w:pPr>
        <w:pStyle w:val="ListParagraph"/>
        <w:numPr>
          <w:ilvl w:val="2"/>
          <w:numId w:val="3"/>
        </w:numPr>
        <w:spacing w:after="0" w:line="240" w:lineRule="auto"/>
      </w:pPr>
      <w:r>
        <w:t xml:space="preserve">If we can incorporate phylogenies with names it will really help.  E.g., generic lumps and splits are less problematic if we can specify how names are related to each other </w:t>
      </w:r>
      <w:proofErr w:type="spellStart"/>
      <w:r>
        <w:t>phylogenetically</w:t>
      </w:r>
      <w:proofErr w:type="spellEnd"/>
      <w:r>
        <w:t xml:space="preserve">.  An advantage to phylogenetic nomenclature, e.g., </w:t>
      </w:r>
      <w:proofErr w:type="spellStart"/>
      <w:r>
        <w:t>RegNum</w:t>
      </w:r>
      <w:proofErr w:type="spellEnd"/>
      <w:r>
        <w:t>.</w:t>
      </w:r>
    </w:p>
    <w:p w14:paraId="2B876C73" w14:textId="77777777" w:rsidR="00651CC0" w:rsidRDefault="00651CC0" w:rsidP="00651CC0">
      <w:pPr>
        <w:pStyle w:val="ListParagraph"/>
        <w:numPr>
          <w:ilvl w:val="2"/>
          <w:numId w:val="3"/>
        </w:numPr>
        <w:spacing w:after="0" w:line="240" w:lineRule="auto"/>
      </w:pPr>
      <w:r>
        <w:t xml:space="preserve">We need to provide a rating system for specimen IDs -- e.g., gold standard is ID by monographer rated most highly, silver standard is ID by other recognized expert in the geographic area and/or taxon -- it goes down several levels from there....  This would let </w:t>
      </w:r>
      <w:r>
        <w:lastRenderedPageBreak/>
        <w:t>the user decide on their preferred level of confidence needed for the type of study they are doing.</w:t>
      </w:r>
    </w:p>
    <w:p w14:paraId="0558305A" w14:textId="77777777" w:rsidR="00651CC0" w:rsidRDefault="00651CC0" w:rsidP="00651CC0">
      <w:pPr>
        <w:pStyle w:val="ListParagraph"/>
        <w:numPr>
          <w:ilvl w:val="2"/>
          <w:numId w:val="3"/>
        </w:numPr>
        <w:spacing w:after="0" w:line="240" w:lineRule="auto"/>
      </w:pPr>
      <w:r>
        <w:t xml:space="preserve">The sociological downside is that labeling identification quality by publicly ranking people's expertise could lead to bad feelings depending on </w:t>
      </w:r>
      <w:proofErr w:type="spellStart"/>
      <w:r>
        <w:t>ones</w:t>
      </w:r>
      <w:proofErr w:type="spellEnd"/>
      <w:r>
        <w:t xml:space="preserve"> rating!</w:t>
      </w:r>
    </w:p>
    <w:p w14:paraId="76E9DC9F" w14:textId="77777777" w:rsidR="00651CC0" w:rsidRDefault="00651CC0" w:rsidP="00651CC0">
      <w:pPr>
        <w:pStyle w:val="ListParagraph"/>
        <w:numPr>
          <w:ilvl w:val="1"/>
          <w:numId w:val="3"/>
        </w:numPr>
        <w:spacing w:after="0" w:line="240" w:lineRule="auto"/>
      </w:pPr>
      <w:r w:rsidRPr="00A50279">
        <w:rPr>
          <w:b/>
        </w:rPr>
        <w:t>Climate change modeling</w:t>
      </w:r>
      <w:r>
        <w:t xml:space="preserve"> -- how to ameliorate biases in specimen data?  How can we allow people to "cherry-pick" the specimens they need for this particular purpose of detecting real changes in distribution.</w:t>
      </w:r>
    </w:p>
    <w:p w14:paraId="04C1A7E1" w14:textId="77777777" w:rsidR="00651CC0" w:rsidRDefault="00651CC0" w:rsidP="00651CC0">
      <w:pPr>
        <w:pStyle w:val="ListParagraph"/>
        <w:numPr>
          <w:ilvl w:val="2"/>
          <w:numId w:val="3"/>
        </w:numPr>
        <w:spacing w:after="0" w:line="240" w:lineRule="auto"/>
      </w:pPr>
      <w:r>
        <w:t>One important criterion is accurate ID (see section above).</w:t>
      </w:r>
    </w:p>
    <w:p w14:paraId="14521205" w14:textId="77777777" w:rsidR="00651CC0" w:rsidRDefault="00651CC0" w:rsidP="00651CC0">
      <w:pPr>
        <w:pStyle w:val="ListParagraph"/>
        <w:numPr>
          <w:ilvl w:val="2"/>
          <w:numId w:val="3"/>
        </w:numPr>
        <w:spacing w:after="0" w:line="240" w:lineRule="auto"/>
      </w:pPr>
      <w:r>
        <w:t>Another important criterion is that m</w:t>
      </w:r>
      <w:r w:rsidRPr="00936379">
        <w:t xml:space="preserve">any researchers want to know whether they can count on completeness of an inventory </w:t>
      </w:r>
      <w:r>
        <w:t xml:space="preserve">of </w:t>
      </w:r>
      <w:r w:rsidRPr="00936379">
        <w:t xml:space="preserve">an area at a particular time, in particular whether they can infer absence of a </w:t>
      </w:r>
      <w:proofErr w:type="spellStart"/>
      <w:r w:rsidRPr="00936379">
        <w:t>tax</w:t>
      </w:r>
      <w:r>
        <w:t>on</w:t>
      </w:r>
      <w:proofErr w:type="spellEnd"/>
      <w:r>
        <w:t xml:space="preserve"> </w:t>
      </w:r>
      <w:r w:rsidRPr="00936379">
        <w:t xml:space="preserve">from a place.  </w:t>
      </w:r>
      <w:r>
        <w:t>T</w:t>
      </w:r>
      <w:r w:rsidRPr="00936379">
        <w:t xml:space="preserve">his is very tricky from museum specimens -- only possible when a good collector has done a "complete," vouchered survey of a plot or other geographic area.  </w:t>
      </w:r>
    </w:p>
    <w:p w14:paraId="2B8A14E5" w14:textId="77777777" w:rsidR="00651CC0" w:rsidRDefault="00651CC0" w:rsidP="00651CC0">
      <w:pPr>
        <w:pStyle w:val="ListParagraph"/>
        <w:numPr>
          <w:ilvl w:val="2"/>
          <w:numId w:val="3"/>
        </w:numPr>
        <w:spacing w:after="0" w:line="240" w:lineRule="auto"/>
      </w:pPr>
      <w:r>
        <w:t>W</w:t>
      </w:r>
      <w:r w:rsidRPr="00936379">
        <w:t xml:space="preserve">e </w:t>
      </w:r>
      <w:r>
        <w:t>could have</w:t>
      </w:r>
      <w:r w:rsidRPr="00936379">
        <w:t xml:space="preserve"> a variable in the database that would mark certain specimens as part of a </w:t>
      </w:r>
      <w:r>
        <w:t>"</w:t>
      </w:r>
      <w:r w:rsidRPr="00936379">
        <w:t>complete</w:t>
      </w:r>
      <w:r>
        <w:t>"</w:t>
      </w:r>
      <w:r w:rsidRPr="00936379">
        <w:t xml:space="preserve"> survey</w:t>
      </w:r>
      <w:r>
        <w:t xml:space="preserve"> in the past (e.g., an inventory of a plot or area)</w:t>
      </w:r>
      <w:r w:rsidRPr="00936379">
        <w:t xml:space="preserve"> -- it could link to </w:t>
      </w:r>
      <w:r>
        <w:t xml:space="preserve">literature </w:t>
      </w:r>
      <w:r w:rsidRPr="00936379">
        <w:t xml:space="preserve">references </w:t>
      </w:r>
      <w:r>
        <w:t xml:space="preserve">or notes </w:t>
      </w:r>
      <w:r w:rsidRPr="00936379">
        <w:t>that would give the details.  We could also let people search from a pick list of complete surveys, or from a literature citation.</w:t>
      </w:r>
    </w:p>
    <w:p w14:paraId="6B506F2E" w14:textId="77777777" w:rsidR="00651CC0" w:rsidRDefault="00651CC0" w:rsidP="00651CC0">
      <w:pPr>
        <w:pStyle w:val="ListParagraph"/>
        <w:numPr>
          <w:ilvl w:val="2"/>
          <w:numId w:val="3"/>
        </w:numPr>
        <w:spacing w:after="0" w:line="240" w:lineRule="auto"/>
      </w:pPr>
      <w:r>
        <w:t>This would provide a different kind of rating system for specimens; a user could select only that fraction of the specimens that result from a "complete" inventory within a geographic area.</w:t>
      </w:r>
    </w:p>
    <w:p w14:paraId="07C61753" w14:textId="77777777" w:rsidR="00651CC0" w:rsidRDefault="00651CC0" w:rsidP="00651CC0"/>
    <w:p w14:paraId="58992539" w14:textId="62C9D549" w:rsidR="00651CC0" w:rsidRDefault="00651CC0" w:rsidP="00651CC0">
      <w:pPr>
        <w:pStyle w:val="Heading2"/>
      </w:pPr>
      <w:r w:rsidRPr="006F5A70">
        <w:rPr>
          <w:u w:val="single"/>
        </w:rPr>
        <w:t>Topic</w:t>
      </w:r>
      <w:r>
        <w:t xml:space="preserve">: </w:t>
      </w:r>
      <w:proofErr w:type="spellStart"/>
      <w:r w:rsidR="00FD43CA">
        <w:t>GUIDs</w:t>
      </w:r>
      <w:proofErr w:type="spellEnd"/>
    </w:p>
    <w:p w14:paraId="5D575F61" w14:textId="23DE5699" w:rsidR="00FD43CA" w:rsidRDefault="006F5A70" w:rsidP="00FD43CA">
      <w:pPr>
        <w:rPr>
          <w:rFonts w:ascii="Tahoma" w:eastAsia="Times New Roman" w:hAnsi="Tahoma" w:cs="Tahoma"/>
          <w:color w:val="000000"/>
          <w:sz w:val="20"/>
          <w:szCs w:val="20"/>
        </w:rPr>
      </w:pPr>
      <w:r>
        <w:rPr>
          <w:rFonts w:ascii="Tahoma" w:eastAsia="Times New Roman" w:hAnsi="Tahoma" w:cs="Tahoma"/>
          <w:color w:val="000000"/>
          <w:sz w:val="20"/>
          <w:szCs w:val="20"/>
        </w:rPr>
        <w:t>Participants</w:t>
      </w:r>
      <w:r w:rsidR="00FD43CA">
        <w:rPr>
          <w:rFonts w:ascii="Tahoma" w:eastAsia="Times New Roman" w:hAnsi="Tahoma" w:cs="Tahoma"/>
          <w:color w:val="000000"/>
          <w:sz w:val="20"/>
          <w:szCs w:val="20"/>
        </w:rPr>
        <w:t xml:space="preserve">: Deb Paul, Barbara Thiers, Rod Spears, </w:t>
      </w:r>
      <w:proofErr w:type="spellStart"/>
      <w:r w:rsidR="00FD43CA">
        <w:rPr>
          <w:rFonts w:ascii="Tahoma" w:eastAsia="Times New Roman" w:hAnsi="Tahoma" w:cs="Tahoma"/>
          <w:color w:val="000000"/>
          <w:sz w:val="20"/>
          <w:szCs w:val="20"/>
        </w:rPr>
        <w:t>Corinna</w:t>
      </w:r>
      <w:proofErr w:type="spellEnd"/>
      <w:r w:rsidR="00FD43CA">
        <w:rPr>
          <w:rFonts w:ascii="Tahoma" w:eastAsia="Times New Roman" w:hAnsi="Tahoma" w:cs="Tahoma"/>
          <w:color w:val="000000"/>
          <w:sz w:val="20"/>
          <w:szCs w:val="20"/>
        </w:rPr>
        <w:t xml:space="preserve"> </w:t>
      </w:r>
      <w:proofErr w:type="spellStart"/>
      <w:r w:rsidR="00FD43CA">
        <w:rPr>
          <w:rFonts w:ascii="Tahoma" w:eastAsia="Times New Roman" w:hAnsi="Tahoma" w:cs="Tahoma"/>
          <w:color w:val="000000"/>
          <w:sz w:val="20"/>
          <w:szCs w:val="20"/>
        </w:rPr>
        <w:t>Gries</w:t>
      </w:r>
      <w:proofErr w:type="spellEnd"/>
      <w:r w:rsidR="00FD43CA">
        <w:rPr>
          <w:rFonts w:ascii="Tahoma" w:eastAsia="Times New Roman" w:hAnsi="Tahoma" w:cs="Tahoma"/>
          <w:color w:val="000000"/>
          <w:sz w:val="20"/>
          <w:szCs w:val="20"/>
        </w:rPr>
        <w:t xml:space="preserve">, David Bloom, Greg </w:t>
      </w:r>
      <w:proofErr w:type="spellStart"/>
      <w:r w:rsidR="00FD43CA">
        <w:rPr>
          <w:rFonts w:ascii="Tahoma" w:eastAsia="Times New Roman" w:hAnsi="Tahoma" w:cs="Tahoma"/>
          <w:color w:val="000000"/>
          <w:sz w:val="20"/>
          <w:szCs w:val="20"/>
        </w:rPr>
        <w:t>Riccardi</w:t>
      </w:r>
      <w:proofErr w:type="spellEnd"/>
      <w:r w:rsidR="00FD43CA">
        <w:rPr>
          <w:rFonts w:ascii="Tahoma" w:eastAsia="Times New Roman" w:hAnsi="Tahoma" w:cs="Tahoma"/>
          <w:color w:val="000000"/>
          <w:sz w:val="20"/>
          <w:szCs w:val="20"/>
        </w:rPr>
        <w:t xml:space="preserve">, Andrea </w:t>
      </w:r>
      <w:proofErr w:type="spellStart"/>
      <w:r w:rsidR="00FD43CA">
        <w:rPr>
          <w:rFonts w:ascii="Tahoma" w:eastAsia="Times New Roman" w:hAnsi="Tahoma" w:cs="Tahoma"/>
          <w:color w:val="000000"/>
          <w:sz w:val="20"/>
          <w:szCs w:val="20"/>
        </w:rPr>
        <w:t>Matsunaga</w:t>
      </w:r>
      <w:proofErr w:type="spellEnd"/>
      <w:r w:rsidR="00FD43CA">
        <w:rPr>
          <w:rFonts w:ascii="Tahoma" w:eastAsia="Times New Roman" w:hAnsi="Tahoma" w:cs="Tahoma"/>
          <w:color w:val="000000"/>
          <w:sz w:val="20"/>
          <w:szCs w:val="20"/>
        </w:rPr>
        <w:t xml:space="preserve">, Jose Fortes, Patrick </w:t>
      </w:r>
      <w:proofErr w:type="spellStart"/>
      <w:r w:rsidR="00FD43CA">
        <w:rPr>
          <w:rFonts w:ascii="Tahoma" w:eastAsia="Times New Roman" w:hAnsi="Tahoma" w:cs="Tahoma"/>
          <w:color w:val="000000"/>
          <w:sz w:val="20"/>
          <w:szCs w:val="20"/>
        </w:rPr>
        <w:t>Sweeeny</w:t>
      </w:r>
      <w:proofErr w:type="spellEnd"/>
      <w:r w:rsidR="00FD43CA">
        <w:rPr>
          <w:rFonts w:ascii="Tahoma" w:eastAsia="Times New Roman" w:hAnsi="Tahoma" w:cs="Tahoma"/>
          <w:color w:val="000000"/>
          <w:sz w:val="20"/>
          <w:szCs w:val="20"/>
        </w:rPr>
        <w:t>, Jim Beach and scribe Joanna McCaffrey</w:t>
      </w:r>
    </w:p>
    <w:p w14:paraId="30ECF961" w14:textId="0668E5FD" w:rsidR="00FD43CA" w:rsidRPr="00FD43CA" w:rsidRDefault="00FD43CA" w:rsidP="00FD43CA">
      <w:pPr>
        <w:rPr>
          <w:rFonts w:ascii="Tahoma" w:eastAsia="Times New Roman" w:hAnsi="Tahoma" w:cs="Tahoma"/>
          <w:color w:val="000000"/>
          <w:sz w:val="20"/>
          <w:szCs w:val="20"/>
        </w:rPr>
      </w:pPr>
      <w:r w:rsidRPr="00FD43CA">
        <w:rPr>
          <w:rFonts w:ascii="Tahoma" w:eastAsia="Times New Roman" w:hAnsi="Tahoma" w:cs="Tahoma"/>
          <w:color w:val="000000"/>
          <w:sz w:val="20"/>
          <w:szCs w:val="20"/>
          <w:u w:val="single"/>
        </w:rPr>
        <w:t>These are opinions expressed by the attendees</w:t>
      </w:r>
      <w:r>
        <w:rPr>
          <w:rFonts w:ascii="Tahoma" w:eastAsia="Times New Roman" w:hAnsi="Tahoma" w:cs="Tahoma"/>
          <w:color w:val="000000"/>
          <w:sz w:val="20"/>
          <w:szCs w:val="20"/>
          <w:u w:val="single"/>
        </w:rPr>
        <w:t xml:space="preserve"> (and not necessarily those of iDigBio)</w:t>
      </w:r>
      <w:r w:rsidRPr="00FD43CA">
        <w:rPr>
          <w:rFonts w:ascii="Tahoma" w:eastAsia="Times New Roman" w:hAnsi="Tahoma" w:cs="Tahoma"/>
          <w:color w:val="000000"/>
          <w:sz w:val="20"/>
          <w:szCs w:val="20"/>
        </w:rPr>
        <w:t>:</w:t>
      </w:r>
    </w:p>
    <w:p w14:paraId="0E27BFF4" w14:textId="77777777" w:rsidR="00FD43CA" w:rsidRDefault="00FD43CA" w:rsidP="00FD43CA">
      <w:pPr>
        <w:pStyle w:val="ListParagraph"/>
        <w:numPr>
          <w:ilvl w:val="0"/>
          <w:numId w:val="7"/>
        </w:numPr>
      </w:pPr>
      <w:r>
        <w:t>The Hub should be the source of unique names (ref: authority files, especially collector names, taxa, sites)</w:t>
      </w:r>
    </w:p>
    <w:p w14:paraId="25FBB295" w14:textId="77777777" w:rsidR="00FD43CA" w:rsidRDefault="00FD43CA" w:rsidP="00FD43CA">
      <w:pPr>
        <w:pStyle w:val="ListParagraph"/>
        <w:numPr>
          <w:ilvl w:val="0"/>
          <w:numId w:val="7"/>
        </w:numPr>
      </w:pPr>
      <w:r>
        <w:t xml:space="preserve">The Hub should have a resolution service for </w:t>
      </w:r>
      <w:proofErr w:type="spellStart"/>
      <w:r>
        <w:t>GUIDs</w:t>
      </w:r>
      <w:proofErr w:type="spellEnd"/>
    </w:p>
    <w:p w14:paraId="43FEC7C9" w14:textId="77777777" w:rsidR="00FD43CA" w:rsidRDefault="00FD43CA" w:rsidP="00FD43CA">
      <w:pPr>
        <w:pStyle w:val="ListParagraph"/>
        <w:numPr>
          <w:ilvl w:val="0"/>
          <w:numId w:val="7"/>
        </w:numPr>
      </w:pPr>
      <w:r>
        <w:t xml:space="preserve">1 </w:t>
      </w:r>
      <w:proofErr w:type="spellStart"/>
      <w:r>
        <w:t>GUID</w:t>
      </w:r>
      <w:proofErr w:type="spellEnd"/>
      <w:r>
        <w:t xml:space="preserve"> per representation of the physical specimen (i.e., the digital record)</w:t>
      </w:r>
    </w:p>
    <w:p w14:paraId="204332B4" w14:textId="77777777" w:rsidR="00FD43CA" w:rsidRDefault="00FD43CA" w:rsidP="00FD43CA">
      <w:pPr>
        <w:pStyle w:val="ListParagraph"/>
        <w:numPr>
          <w:ilvl w:val="0"/>
          <w:numId w:val="7"/>
        </w:numPr>
      </w:pPr>
      <w:r>
        <w:t>opaque ids are good</w:t>
      </w:r>
    </w:p>
    <w:p w14:paraId="4CFCDE35" w14:textId="77777777" w:rsidR="00FD43CA" w:rsidRDefault="00FD43CA" w:rsidP="00FD43CA">
      <w:pPr>
        <w:pStyle w:val="ListParagraph"/>
        <w:numPr>
          <w:ilvl w:val="0"/>
          <w:numId w:val="7"/>
        </w:numPr>
      </w:pPr>
      <w:r>
        <w:t xml:space="preserve">use cases for </w:t>
      </w:r>
      <w:proofErr w:type="spellStart"/>
      <w:r>
        <w:t>GUIDS</w:t>
      </w:r>
      <w:proofErr w:type="spellEnd"/>
      <w:r>
        <w:t>:</w:t>
      </w:r>
    </w:p>
    <w:p w14:paraId="1BE587A6" w14:textId="77777777" w:rsidR="00FD43CA" w:rsidRDefault="00FD43CA" w:rsidP="00FD43CA">
      <w:pPr>
        <w:pStyle w:val="ListParagraph"/>
        <w:numPr>
          <w:ilvl w:val="0"/>
          <w:numId w:val="8"/>
        </w:numPr>
      </w:pPr>
      <w:r>
        <w:t>write-back, annotations</w:t>
      </w:r>
    </w:p>
    <w:p w14:paraId="4F91B076" w14:textId="77777777" w:rsidR="00FD43CA" w:rsidRDefault="00FD43CA" w:rsidP="00FD43CA">
      <w:pPr>
        <w:pStyle w:val="ListParagraph"/>
        <w:numPr>
          <w:ilvl w:val="0"/>
          <w:numId w:val="8"/>
        </w:numPr>
      </w:pPr>
      <w:r>
        <w:t>being able to follow how a specimen has been used (also a great motivator to make collectors to do some standardization of data and general collection data improvement)</w:t>
      </w:r>
    </w:p>
    <w:p w14:paraId="232B91CF" w14:textId="2FA821F9" w:rsidR="00FD43CA" w:rsidRPr="00FD43CA" w:rsidRDefault="00FD43CA" w:rsidP="00FD43CA">
      <w:pPr>
        <w:pStyle w:val="ListParagraph"/>
        <w:numPr>
          <w:ilvl w:val="0"/>
          <w:numId w:val="7"/>
        </w:numPr>
      </w:pPr>
      <w:proofErr w:type="gramStart"/>
      <w:r w:rsidRPr="00FD43CA">
        <w:t>we</w:t>
      </w:r>
      <w:proofErr w:type="gramEnd"/>
      <w:r w:rsidRPr="00FD43CA">
        <w:t xml:space="preserve"> cannot look to or wait for the community as a whole or any of the associated standards groups (</w:t>
      </w:r>
      <w:proofErr w:type="spellStart"/>
      <w:r w:rsidRPr="00FD43CA">
        <w:t>TDWG</w:t>
      </w:r>
      <w:proofErr w:type="spellEnd"/>
      <w:r w:rsidRPr="00FD43CA">
        <w:t xml:space="preserve">, </w:t>
      </w:r>
      <w:proofErr w:type="spellStart"/>
      <w:r w:rsidRPr="00FD43CA">
        <w:t>SPNHC</w:t>
      </w:r>
      <w:proofErr w:type="spellEnd"/>
      <w:r w:rsidRPr="00FD43CA">
        <w:t xml:space="preserve">, </w:t>
      </w:r>
      <w:proofErr w:type="spellStart"/>
      <w:r w:rsidRPr="00FD43CA">
        <w:t>etc</w:t>
      </w:r>
      <w:proofErr w:type="spellEnd"/>
      <w:r w:rsidRPr="00FD43CA">
        <w:t xml:space="preserve">) to make a decision in regards to </w:t>
      </w:r>
      <w:proofErr w:type="spellStart"/>
      <w:r w:rsidRPr="00FD43CA">
        <w:t>GUID</w:t>
      </w:r>
      <w:proofErr w:type="spellEnd"/>
      <w:r w:rsidRPr="00FD43CA">
        <w:t xml:space="preserve"> strategies. They have tried and failed. The last I heard </w:t>
      </w:r>
      <w:proofErr w:type="spellStart"/>
      <w:r w:rsidRPr="00FD43CA">
        <w:t>DataONE</w:t>
      </w:r>
      <w:proofErr w:type="spellEnd"/>
      <w:r w:rsidRPr="00FD43CA">
        <w:t xml:space="preserve"> was going to use </w:t>
      </w:r>
      <w:proofErr w:type="spellStart"/>
      <w:r w:rsidRPr="00FD43CA">
        <w:t>EZIDs</w:t>
      </w:r>
      <w:proofErr w:type="spellEnd"/>
      <w:r w:rsidRPr="00FD43CA">
        <w:t xml:space="preserve"> and it appears that </w:t>
      </w:r>
      <w:proofErr w:type="spellStart"/>
      <w:r w:rsidRPr="00FD43CA">
        <w:t>BiSciCol</w:t>
      </w:r>
      <w:proofErr w:type="spellEnd"/>
      <w:r w:rsidRPr="00FD43CA">
        <w:t xml:space="preserve"> is leaning that way. If we choose the same approach I think that would benefit us in the long run and maybe finally push this issue past the point of inertia. I certainly do not think we need to create something new or take a localized tactical approach.</w:t>
      </w:r>
    </w:p>
    <w:p w14:paraId="59857E1A" w14:textId="181CB954" w:rsidR="00FD43CA" w:rsidRPr="00FD43CA" w:rsidRDefault="00FD43CA" w:rsidP="00FD43CA">
      <w:pPr>
        <w:pStyle w:val="ListParagraph"/>
        <w:numPr>
          <w:ilvl w:val="0"/>
          <w:numId w:val="7"/>
        </w:numPr>
      </w:pPr>
      <w:proofErr w:type="gramStart"/>
      <w:r w:rsidRPr="00FD43CA">
        <w:lastRenderedPageBreak/>
        <w:t>the</w:t>
      </w:r>
      <w:proofErr w:type="gramEnd"/>
      <w:r w:rsidRPr="00FD43CA">
        <w:t xml:space="preserve"> HUB should be the gatekeeper, the resolver of </w:t>
      </w:r>
      <w:proofErr w:type="spellStart"/>
      <w:r w:rsidRPr="00FD43CA">
        <w:t>GUIDs</w:t>
      </w:r>
      <w:proofErr w:type="spellEnd"/>
      <w:r w:rsidRPr="00FD43CA">
        <w:t xml:space="preserve">, meaning everyone should register their physical specimen, Taxon, Geography and Collector </w:t>
      </w:r>
      <w:proofErr w:type="spellStart"/>
      <w:r w:rsidRPr="00FD43CA">
        <w:t>GUIDs</w:t>
      </w:r>
      <w:proofErr w:type="spellEnd"/>
      <w:r w:rsidRPr="00FD43CA">
        <w:t xml:space="preserve"> with the HUB.</w:t>
      </w:r>
    </w:p>
    <w:p w14:paraId="5C7AA853" w14:textId="46C644E4" w:rsidR="00FD43CA" w:rsidRDefault="00FD43CA" w:rsidP="00FD43CA">
      <w:pPr>
        <w:pStyle w:val="ListParagraph"/>
        <w:numPr>
          <w:ilvl w:val="0"/>
          <w:numId w:val="7"/>
        </w:numPr>
      </w:pPr>
      <w:r w:rsidRPr="00FD43CA">
        <w:t xml:space="preserve">The problem with the </w:t>
      </w:r>
      <w:proofErr w:type="spellStart"/>
      <w:r w:rsidRPr="00FD43CA">
        <w:t>TCN</w:t>
      </w:r>
      <w:proofErr w:type="spellEnd"/>
      <w:r w:rsidRPr="00FD43CA">
        <w:t xml:space="preserve"> grants is that they are designed to motivate institutions to digitize as much material as possible but they do not stress or require any data quality standards. If we do not address the quality issue now we will be paying for this for a very long time. The first step in the long road to quality data is getting unique identifiers on the important pieces of information. </w:t>
      </w:r>
    </w:p>
    <w:p w14:paraId="0635E057" w14:textId="5885ED0A" w:rsidR="00651CC0" w:rsidRPr="00FD43CA" w:rsidRDefault="00FD43CA" w:rsidP="00FD43CA">
      <w:pPr>
        <w:pStyle w:val="ListParagraph"/>
        <w:numPr>
          <w:ilvl w:val="0"/>
          <w:numId w:val="7"/>
        </w:numPr>
      </w:pPr>
      <w:r w:rsidRPr="00FD43CA">
        <w:t>We also need to get the 'software stragglers' (those using inadequate home grown systems or Excel, etc.) to start using contemporary software that will make the process nearly transparent for them, plus, all the other benefits Collection Management Systems will bring.</w:t>
      </w:r>
    </w:p>
    <w:p w14:paraId="38073DB3" w14:textId="77777777" w:rsidR="00651CC0" w:rsidRDefault="00651CC0" w:rsidP="00651CC0"/>
    <w:p w14:paraId="3B1C2560" w14:textId="03FBF89A" w:rsidR="00FD43CA" w:rsidRDefault="00FD43CA" w:rsidP="00FD43CA">
      <w:pPr>
        <w:pStyle w:val="Heading2"/>
      </w:pPr>
      <w:r w:rsidRPr="006F5A70">
        <w:rPr>
          <w:u w:val="single"/>
        </w:rPr>
        <w:t>Topic</w:t>
      </w:r>
      <w:r>
        <w:t xml:space="preserve">: </w:t>
      </w:r>
      <w:proofErr w:type="spellStart"/>
      <w:r>
        <w:t>Symbiota</w:t>
      </w:r>
      <w:proofErr w:type="spellEnd"/>
    </w:p>
    <w:p w14:paraId="41D2B3C9" w14:textId="3CD29DC2" w:rsidR="00FD43CA" w:rsidRDefault="00FD43CA" w:rsidP="00FD43CA">
      <w:pPr>
        <w:rPr>
          <w:rFonts w:ascii="Tahoma" w:eastAsia="Times New Roman" w:hAnsi="Tahoma" w:cs="Tahoma"/>
          <w:color w:val="000000"/>
          <w:sz w:val="20"/>
          <w:szCs w:val="20"/>
        </w:rPr>
      </w:pPr>
      <w:r>
        <w:t xml:space="preserve">Participants: </w:t>
      </w:r>
      <w:proofErr w:type="spellStart"/>
      <w:r>
        <w:t>Katja</w:t>
      </w:r>
      <w:proofErr w:type="spellEnd"/>
      <w:r>
        <w:t xml:space="preserve"> </w:t>
      </w:r>
      <w:proofErr w:type="spellStart"/>
      <w:r>
        <w:t>Seltmann</w:t>
      </w:r>
      <w:proofErr w:type="spellEnd"/>
      <w:r>
        <w:t xml:space="preserve">, Toby </w:t>
      </w:r>
      <w:proofErr w:type="spellStart"/>
      <w:r>
        <w:t>Schuh</w:t>
      </w:r>
      <w:proofErr w:type="spellEnd"/>
      <w:r>
        <w:t xml:space="preserve">, Anna </w:t>
      </w:r>
      <w:proofErr w:type="spellStart"/>
      <w:r>
        <w:t>Monflis</w:t>
      </w:r>
      <w:proofErr w:type="spellEnd"/>
      <w:r>
        <w:t>, and Lucile McCook</w:t>
      </w:r>
    </w:p>
    <w:p w14:paraId="3B2ACD65" w14:textId="76FAEF8B" w:rsidR="00FD43CA" w:rsidRDefault="00FD43CA" w:rsidP="00FD43CA">
      <w:r>
        <w:t xml:space="preserve">We had a small, very informal </w:t>
      </w:r>
      <w:proofErr w:type="spellStart"/>
      <w:r>
        <w:t>BOF</w:t>
      </w:r>
      <w:proofErr w:type="spellEnd"/>
      <w:r>
        <w:t xml:space="preserve"> breakout group that went over the some of the data entry and management functionality built into the </w:t>
      </w:r>
      <w:proofErr w:type="spellStart"/>
      <w:r>
        <w:t>Symbiota</w:t>
      </w:r>
      <w:proofErr w:type="spellEnd"/>
      <w:r>
        <w:t xml:space="preserve"> software. </w:t>
      </w:r>
      <w:proofErr w:type="spellStart"/>
      <w:r>
        <w:t>Katja</w:t>
      </w:r>
      <w:proofErr w:type="spellEnd"/>
      <w:r>
        <w:t xml:space="preserve"> asked for this in order to determine if </w:t>
      </w:r>
      <w:proofErr w:type="spellStart"/>
      <w:r>
        <w:t>Symbiota</w:t>
      </w:r>
      <w:proofErr w:type="spellEnd"/>
      <w:r>
        <w:t xml:space="preserve"> was appropriate for their project. Anna was interested in using </w:t>
      </w:r>
      <w:proofErr w:type="spellStart"/>
      <w:r>
        <w:t>Symbiota</w:t>
      </w:r>
      <w:proofErr w:type="spellEnd"/>
      <w:r>
        <w:t xml:space="preserve"> for her mid-west project. </w:t>
      </w:r>
    </w:p>
    <w:p w14:paraId="4A62607B" w14:textId="13C4A00F" w:rsidR="00FD43CA" w:rsidRDefault="00FD43CA" w:rsidP="00FD43CA">
      <w:r>
        <w:t xml:space="preserve">Across the room, Paul Morris and Patrick Sweeney met with a small group to talk about Filtered-Push, </w:t>
      </w:r>
      <w:proofErr w:type="spellStart"/>
      <w:r>
        <w:t>Symbiota</w:t>
      </w:r>
      <w:proofErr w:type="spellEnd"/>
      <w:r>
        <w:t xml:space="preserve">, and other applications that will be interacting with the FP project. </w:t>
      </w:r>
    </w:p>
    <w:p w14:paraId="3D70EC62" w14:textId="77777777" w:rsidR="006F5A70" w:rsidRDefault="006F5A70" w:rsidP="00FD43CA"/>
    <w:p w14:paraId="3C3F9BDE" w14:textId="15891533" w:rsidR="006F5A70" w:rsidRDefault="006F5A70" w:rsidP="006F5A70">
      <w:pPr>
        <w:pStyle w:val="Heading2"/>
      </w:pPr>
      <w:r w:rsidRPr="006F5A70">
        <w:rPr>
          <w:u w:val="single"/>
        </w:rPr>
        <w:t>Topic</w:t>
      </w:r>
      <w:r>
        <w:t xml:space="preserve">: </w:t>
      </w:r>
      <w:r>
        <w:t>Filtered Push</w:t>
      </w:r>
    </w:p>
    <w:p w14:paraId="6F4B671E" w14:textId="79403D83" w:rsidR="006F5A70" w:rsidRDefault="006F5A70" w:rsidP="006F5A70">
      <w:pPr>
        <w:rPr>
          <w:rFonts w:ascii="Tahoma" w:eastAsia="Times New Roman" w:hAnsi="Tahoma" w:cs="Tahoma"/>
          <w:color w:val="000000"/>
          <w:sz w:val="20"/>
          <w:szCs w:val="20"/>
        </w:rPr>
      </w:pPr>
      <w:r>
        <w:t xml:space="preserve">Participants: </w:t>
      </w:r>
      <w:r w:rsidRPr="006F5A70">
        <w:t>Paul Morris, Matt Collins, Austin Mast</w:t>
      </w:r>
      <w:r w:rsidR="009E4EFA">
        <w:t>,</w:t>
      </w:r>
      <w:r w:rsidRPr="006F5A70">
        <w:t xml:space="preserve"> </w:t>
      </w:r>
      <w:r>
        <w:t>Alex Thompson</w:t>
      </w:r>
    </w:p>
    <w:p w14:paraId="3ABFD113" w14:textId="117D66AB" w:rsidR="006F5A70" w:rsidRDefault="006F5A70" w:rsidP="006F5A70">
      <w:r>
        <w:t>I</w:t>
      </w:r>
      <w:r w:rsidRPr="006F5A70">
        <w:t>n</w:t>
      </w:r>
      <w:r>
        <w:t>-</w:t>
      </w:r>
      <w:r w:rsidRPr="006F5A70">
        <w:t xml:space="preserve">depth </w:t>
      </w:r>
      <w:r>
        <w:t>discussions of some of the broader features of the filtered push</w:t>
      </w:r>
      <w:r w:rsidRPr="006F5A70">
        <w:t xml:space="preserve"> architecture and drilled down into points of implementation.</w:t>
      </w:r>
    </w:p>
    <w:p w14:paraId="21A92748" w14:textId="77777777" w:rsidR="009E4EFA" w:rsidRDefault="009E4EFA" w:rsidP="009E4EFA"/>
    <w:p w14:paraId="7154B8F7" w14:textId="70828F65" w:rsidR="009E4EFA" w:rsidRDefault="009E4EFA" w:rsidP="009E4EFA">
      <w:pPr>
        <w:pStyle w:val="Heading2"/>
      </w:pPr>
      <w:r w:rsidRPr="006F5A70">
        <w:rPr>
          <w:u w:val="single"/>
        </w:rPr>
        <w:t>Topic</w:t>
      </w:r>
      <w:r>
        <w:t xml:space="preserve">: </w:t>
      </w:r>
      <w:r>
        <w:t>Adobe Connect</w:t>
      </w:r>
    </w:p>
    <w:p w14:paraId="5A48C454" w14:textId="1FFF323C" w:rsidR="009E4EFA" w:rsidRDefault="009E4EFA" w:rsidP="009E4EFA">
      <w:pPr>
        <w:rPr>
          <w:rFonts w:ascii="Tahoma" w:eastAsia="Times New Roman" w:hAnsi="Tahoma" w:cs="Tahoma"/>
          <w:color w:val="000000"/>
          <w:sz w:val="20"/>
          <w:szCs w:val="20"/>
        </w:rPr>
      </w:pPr>
      <w:r>
        <w:t xml:space="preserve">Participants: </w:t>
      </w:r>
      <w:r>
        <w:t>Kevin Love</w:t>
      </w:r>
      <w:r w:rsidRPr="006F5A70">
        <w:t xml:space="preserve">, </w:t>
      </w:r>
      <w:r>
        <w:t xml:space="preserve">Bruce </w:t>
      </w:r>
      <w:proofErr w:type="spellStart"/>
      <w:r>
        <w:t>MacFadden</w:t>
      </w:r>
      <w:proofErr w:type="spellEnd"/>
    </w:p>
    <w:p w14:paraId="34A0BA3C" w14:textId="5B223ADD" w:rsidR="009E4EFA" w:rsidRDefault="00ED4E08" w:rsidP="009E4EFA">
      <w:r>
        <w:t>Kevin gave a w</w:t>
      </w:r>
      <w:r w:rsidR="009E4EFA">
        <w:t>alkthrough of the basic features of Adobe Connect</w:t>
      </w:r>
      <w:r w:rsidR="009E4EFA" w:rsidRPr="006F5A70">
        <w:t>.</w:t>
      </w:r>
      <w:r w:rsidR="009E4EFA">
        <w:t xml:space="preserve"> </w:t>
      </w:r>
      <w:r>
        <w:t xml:space="preserve"> </w:t>
      </w:r>
      <w:r w:rsidR="009E4EFA">
        <w:t>Focus was on how to get connected and participate in meetings.</w:t>
      </w:r>
      <w:bookmarkStart w:id="0" w:name="_GoBack"/>
      <w:bookmarkEnd w:id="0"/>
    </w:p>
    <w:p w14:paraId="4B390B8C" w14:textId="2EB2F350" w:rsidR="00ED4E08" w:rsidRDefault="00ED4E08" w:rsidP="00ED4E08">
      <w:pPr>
        <w:pStyle w:val="ListParagraph"/>
        <w:numPr>
          <w:ilvl w:val="0"/>
          <w:numId w:val="10"/>
        </w:numPr>
      </w:pPr>
      <w:r>
        <w:t>Audio setup wizard</w:t>
      </w:r>
    </w:p>
    <w:p w14:paraId="222D1FC7" w14:textId="118DE984" w:rsidR="00ED4E08" w:rsidRDefault="00ED4E08" w:rsidP="00ED4E08">
      <w:pPr>
        <w:pStyle w:val="ListParagraph"/>
        <w:numPr>
          <w:ilvl w:val="0"/>
          <w:numId w:val="10"/>
        </w:numPr>
      </w:pPr>
      <w:r>
        <w:t>Microphone / Phone icon</w:t>
      </w:r>
    </w:p>
    <w:p w14:paraId="3828D55C" w14:textId="2C46B184" w:rsidR="00ED4E08" w:rsidRDefault="00ED4E08" w:rsidP="00ED4E08">
      <w:pPr>
        <w:pStyle w:val="ListParagraph"/>
        <w:numPr>
          <w:ilvl w:val="0"/>
          <w:numId w:val="10"/>
        </w:numPr>
      </w:pPr>
      <w:r>
        <w:t>Speaker icon</w:t>
      </w:r>
    </w:p>
    <w:p w14:paraId="0C441E2F" w14:textId="2F14D086" w:rsidR="00ED4E08" w:rsidRDefault="00ED4E08" w:rsidP="00ED4E08">
      <w:pPr>
        <w:pStyle w:val="ListParagraph"/>
        <w:numPr>
          <w:ilvl w:val="0"/>
          <w:numId w:val="10"/>
        </w:numPr>
      </w:pPr>
      <w:r>
        <w:t>Webcam icon</w:t>
      </w:r>
    </w:p>
    <w:p w14:paraId="3029521B" w14:textId="77777777" w:rsidR="006F5A70" w:rsidRPr="00651CC0" w:rsidRDefault="006F5A70" w:rsidP="00FD43CA"/>
    <w:sectPr w:rsidR="006F5A70" w:rsidRPr="00651CC0" w:rsidSect="003915FF">
      <w:headerReference w:type="default" r:id="rId9"/>
      <w:footerReference w:type="default" r:id="rId10"/>
      <w:headerReference w:type="first" r:id="rId11"/>
      <w:footerReference w:type="first" r:id="rId12"/>
      <w:pgSz w:w="12240" w:h="15840"/>
      <w:pgMar w:top="1440" w:right="1080" w:bottom="1440" w:left="1080" w:header="720"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5A340" w14:textId="77777777" w:rsidR="0011318D" w:rsidRDefault="0011318D" w:rsidP="00F06056">
      <w:pPr>
        <w:spacing w:after="0" w:line="240" w:lineRule="auto"/>
      </w:pPr>
      <w:r>
        <w:separator/>
      </w:r>
    </w:p>
  </w:endnote>
  <w:endnote w:type="continuationSeparator" w:id="0">
    <w:p w14:paraId="68546C36" w14:textId="77777777" w:rsidR="0011318D" w:rsidRDefault="0011318D" w:rsidP="00F0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31"/>
      <w:gridCol w:w="9279"/>
    </w:tblGrid>
    <w:tr w:rsidR="0011318D" w14:paraId="0BFC9CD2" w14:textId="77777777">
      <w:tc>
        <w:tcPr>
          <w:tcW w:w="500" w:type="pct"/>
          <w:tcBorders>
            <w:top w:val="single" w:sz="4" w:space="0" w:color="943634" w:themeColor="accent2" w:themeShade="BF"/>
          </w:tcBorders>
          <w:shd w:val="clear" w:color="auto" w:fill="943634" w:themeFill="accent2" w:themeFillShade="BF"/>
        </w:tcPr>
        <w:p w14:paraId="34C61205" w14:textId="77777777" w:rsidR="0011318D" w:rsidRDefault="0011318D">
          <w:pPr>
            <w:pStyle w:val="Footer"/>
            <w:jc w:val="right"/>
            <w:rPr>
              <w:b/>
              <w:bCs/>
              <w:color w:val="FFFFFF" w:themeColor="background1"/>
            </w:rPr>
          </w:pPr>
          <w:r>
            <w:fldChar w:fldCharType="begin"/>
          </w:r>
          <w:r>
            <w:instrText xml:space="preserve"> PAGE   \* MERGEFORMAT </w:instrText>
          </w:r>
          <w:r>
            <w:fldChar w:fldCharType="separate"/>
          </w:r>
          <w:r w:rsidR="00ED4E08" w:rsidRPr="00ED4E08">
            <w:rPr>
              <w:noProof/>
              <w:color w:val="FFFFFF" w:themeColor="background1"/>
            </w:rPr>
            <w:t>3</w:t>
          </w:r>
          <w:r>
            <w:rPr>
              <w:noProof/>
              <w:color w:val="FFFFFF" w:themeColor="background1"/>
            </w:rPr>
            <w:fldChar w:fldCharType="end"/>
          </w:r>
        </w:p>
      </w:tc>
      <w:tc>
        <w:tcPr>
          <w:tcW w:w="4500" w:type="pct"/>
          <w:tcBorders>
            <w:top w:val="single" w:sz="4" w:space="0" w:color="auto"/>
          </w:tcBorders>
        </w:tcPr>
        <w:p w14:paraId="2DAE1F89" w14:textId="29B14859" w:rsidR="0011318D" w:rsidRPr="003915FF" w:rsidRDefault="0011318D" w:rsidP="00EC019A">
          <w:pPr>
            <w:pStyle w:val="Footer"/>
            <w:tabs>
              <w:tab w:val="clear" w:pos="4680"/>
              <w:tab w:val="clear" w:pos="9360"/>
              <w:tab w:val="right" w:pos="9049"/>
            </w:tabs>
            <w:rPr>
              <w:b/>
            </w:rPr>
          </w:pPr>
          <w:r>
            <w:tab/>
          </w:r>
          <w:r w:rsidR="00EC019A">
            <w:rPr>
              <w:b/>
            </w:rPr>
            <w:t>“Birds of a Feather”</w:t>
          </w:r>
          <w:r w:rsidR="007E7392">
            <w:rPr>
              <w:b/>
            </w:rPr>
            <w:t xml:space="preserve"> Discussion Group</w:t>
          </w:r>
          <w:r w:rsidR="00EC019A">
            <w:rPr>
              <w:b/>
            </w:rPr>
            <w:t>s</w:t>
          </w:r>
        </w:p>
      </w:tc>
    </w:tr>
  </w:tbl>
  <w:p w14:paraId="7518D3CA" w14:textId="77777777" w:rsidR="0011318D" w:rsidRPr="003915FF" w:rsidRDefault="0011318D">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86993" w14:textId="77777777" w:rsidR="0011318D" w:rsidRPr="003345BC" w:rsidRDefault="00ED4E08" w:rsidP="003915FF">
    <w:pPr>
      <w:pStyle w:val="Footer"/>
      <w:tabs>
        <w:tab w:val="clear" w:pos="4680"/>
        <w:tab w:val="clear" w:pos="9360"/>
        <w:tab w:val="right" w:pos="10080"/>
      </w:tabs>
      <w:rPr>
        <w:sz w:val="16"/>
        <w:szCs w:val="16"/>
      </w:rPr>
    </w:pPr>
    <w:r>
      <w:rPr>
        <w:sz w:val="16"/>
        <w:szCs w:val="16"/>
      </w:rPr>
      <w:pict w14:anchorId="0E26474C">
        <v:rect id="_x0000_i1027" style="width:468pt;height:.5pt;mso-position-vertical:absolute" o:hralign="center" o:hrstd="t" o:hrnoshade="t" o:hr="t" fillcolor="#a0a0a0" stroked="f"/>
      </w:pict>
    </w:r>
  </w:p>
  <w:p w14:paraId="23B6E979" w14:textId="77777777" w:rsidR="0011318D" w:rsidRPr="003345BC" w:rsidRDefault="0011318D" w:rsidP="003915FF">
    <w:pPr>
      <w:pStyle w:val="Footer"/>
      <w:tabs>
        <w:tab w:val="clear" w:pos="4680"/>
        <w:tab w:val="clear" w:pos="9360"/>
        <w:tab w:val="right" w:pos="10080"/>
      </w:tabs>
      <w:jc w:val="center"/>
      <w:rPr>
        <w:i/>
        <w:iCs/>
        <w:sz w:val="16"/>
        <w:szCs w:val="16"/>
      </w:rPr>
    </w:pPr>
    <w:r w:rsidRPr="003345BC">
      <w:rPr>
        <w:i/>
        <w:iCs/>
        <w:sz w:val="16"/>
        <w:szCs w:val="16"/>
      </w:rPr>
      <w:t>Presented by the National Resource at the University of Florida and Florida State University for Advancing Digitization of Biological Collections (</w:t>
    </w:r>
    <w:proofErr w:type="spellStart"/>
    <w:r w:rsidRPr="003345BC">
      <w:rPr>
        <w:i/>
        <w:iCs/>
        <w:sz w:val="16"/>
        <w:szCs w:val="16"/>
      </w:rPr>
      <w:t>ADBC</w:t>
    </w:r>
    <w:proofErr w:type="spellEnd"/>
    <w:r w:rsidRPr="003345BC">
      <w:rPr>
        <w:i/>
        <w:iCs/>
        <w:sz w:val="16"/>
        <w:szCs w:val="16"/>
      </w:rPr>
      <w:t>).</w:t>
    </w:r>
  </w:p>
  <w:p w14:paraId="3B277BDB" w14:textId="77777777" w:rsidR="0011318D" w:rsidRPr="003345BC" w:rsidRDefault="0011318D" w:rsidP="003915FF">
    <w:pPr>
      <w:pStyle w:val="Footer"/>
      <w:tabs>
        <w:tab w:val="clear" w:pos="4680"/>
        <w:tab w:val="clear" w:pos="9360"/>
        <w:tab w:val="right" w:pos="10080"/>
      </w:tabs>
      <w:jc w:val="center"/>
      <w:rPr>
        <w:i/>
        <w:sz w:val="16"/>
        <w:szCs w:val="16"/>
      </w:rPr>
    </w:pPr>
    <w:proofErr w:type="gramStart"/>
    <w:r w:rsidRPr="003345BC">
      <w:rPr>
        <w:i/>
        <w:sz w:val="16"/>
        <w:szCs w:val="16"/>
      </w:rPr>
      <w:t>iDigBio</w:t>
    </w:r>
    <w:proofErr w:type="gramEnd"/>
    <w:r w:rsidRPr="003345BC">
      <w:rPr>
        <w:i/>
        <w:sz w:val="16"/>
        <w:szCs w:val="16"/>
      </w:rPr>
      <w:t xml:space="preserve"> is funded by a grant from the National Science Foundation's Advancing Digitization of Biodiversity Collections Program (#EF1115210).</w:t>
    </w:r>
  </w:p>
  <w:p w14:paraId="74C76389" w14:textId="77777777" w:rsidR="0011318D" w:rsidRPr="003345BC" w:rsidRDefault="0011318D" w:rsidP="003915FF">
    <w:pPr>
      <w:pStyle w:val="Footer"/>
      <w:jc w:val="center"/>
      <w:rPr>
        <w:sz w:val="12"/>
        <w:szCs w:val="12"/>
      </w:rPr>
    </w:pPr>
    <w:r w:rsidRPr="003345BC">
      <w:rPr>
        <w:noProof/>
        <w:sz w:val="12"/>
        <w:szCs w:val="12"/>
      </w:rPr>
      <w:drawing>
        <wp:anchor distT="0" distB="0" distL="114300" distR="114300" simplePos="0" relativeHeight="251669504" behindDoc="1" locked="0" layoutInCell="1" allowOverlap="1" wp14:anchorId="6D89D8F1" wp14:editId="5C548771">
          <wp:simplePos x="0" y="0"/>
          <wp:positionH relativeFrom="column">
            <wp:posOffset>411480</wp:posOffset>
          </wp:positionH>
          <wp:positionV relativeFrom="paragraph">
            <wp:posOffset>95885</wp:posOffset>
          </wp:positionV>
          <wp:extent cx="1143000" cy="256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png"/>
                  <pic:cNvPicPr/>
                </pic:nvPicPr>
                <pic:blipFill>
                  <a:blip r:embed="rId1">
                    <a:extLst>
                      <a:ext uri="{28A0092B-C50C-407E-A947-70E740481C1C}">
                        <a14:useLocalDpi xmlns:a14="http://schemas.microsoft.com/office/drawing/2010/main" val="0"/>
                      </a:ext>
                    </a:extLst>
                  </a:blip>
                  <a:stretch>
                    <a:fillRect/>
                  </a:stretch>
                </pic:blipFill>
                <pic:spPr>
                  <a:xfrm>
                    <a:off x="0" y="0"/>
                    <a:ext cx="1143000" cy="256540"/>
                  </a:xfrm>
                  <a:prstGeom prst="rect">
                    <a:avLst/>
                  </a:prstGeom>
                </pic:spPr>
              </pic:pic>
            </a:graphicData>
          </a:graphic>
          <wp14:sizeRelH relativeFrom="page">
            <wp14:pctWidth>0</wp14:pctWidth>
          </wp14:sizeRelH>
          <wp14:sizeRelV relativeFrom="page">
            <wp14:pctHeight>0</wp14:pctHeight>
          </wp14:sizeRelV>
        </wp:anchor>
      </w:drawing>
    </w:r>
    <w:r w:rsidRPr="003345BC">
      <w:rPr>
        <w:noProof/>
        <w:sz w:val="12"/>
        <w:szCs w:val="12"/>
      </w:rPr>
      <w:drawing>
        <wp:anchor distT="0" distB="0" distL="114300" distR="114300" simplePos="0" relativeHeight="251666432" behindDoc="0" locked="0" layoutInCell="1" allowOverlap="1" wp14:anchorId="31DCD77D" wp14:editId="00439D4C">
          <wp:simplePos x="0" y="0"/>
          <wp:positionH relativeFrom="column">
            <wp:posOffset>5129530</wp:posOffset>
          </wp:positionH>
          <wp:positionV relativeFrom="paragraph">
            <wp:posOffset>114300</wp:posOffset>
          </wp:positionV>
          <wp:extent cx="965200" cy="204470"/>
          <wp:effectExtent l="0" t="0" r="635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tro.png"/>
                  <pic:cNvPicPr/>
                </pic:nvPicPr>
                <pic:blipFill>
                  <a:blip r:embed="rId2">
                    <a:extLst>
                      <a:ext uri="{28A0092B-C50C-407E-A947-70E740481C1C}">
                        <a14:useLocalDpi xmlns:a14="http://schemas.microsoft.com/office/drawing/2010/main" val="0"/>
                      </a:ext>
                    </a:extLst>
                  </a:blip>
                  <a:stretch>
                    <a:fillRect/>
                  </a:stretch>
                </pic:blipFill>
                <pic:spPr>
                  <a:xfrm>
                    <a:off x="0" y="0"/>
                    <a:ext cx="965200" cy="204470"/>
                  </a:xfrm>
                  <a:prstGeom prst="rect">
                    <a:avLst/>
                  </a:prstGeom>
                </pic:spPr>
              </pic:pic>
            </a:graphicData>
          </a:graphic>
          <wp14:sizeRelH relativeFrom="page">
            <wp14:pctWidth>0</wp14:pctWidth>
          </wp14:sizeRelH>
          <wp14:sizeRelV relativeFrom="page">
            <wp14:pctHeight>0</wp14:pctHeight>
          </wp14:sizeRelV>
        </wp:anchor>
      </w:drawing>
    </w:r>
    <w:r w:rsidRPr="003345BC">
      <w:rPr>
        <w:noProof/>
        <w:sz w:val="12"/>
        <w:szCs w:val="12"/>
        <w:vertAlign w:val="subscript"/>
      </w:rPr>
      <w:drawing>
        <wp:anchor distT="0" distB="0" distL="114300" distR="114300" simplePos="0" relativeHeight="251667456" behindDoc="0" locked="0" layoutInCell="1" allowOverlap="1" wp14:anchorId="3CF619A4" wp14:editId="484288CA">
          <wp:simplePos x="0" y="0"/>
          <wp:positionH relativeFrom="column">
            <wp:posOffset>4179570</wp:posOffset>
          </wp:positionH>
          <wp:positionV relativeFrom="paragraph">
            <wp:posOffset>50800</wp:posOffset>
          </wp:positionV>
          <wp:extent cx="380365" cy="34290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s.png"/>
                  <pic:cNvPicPr/>
                </pic:nvPicPr>
                <pic:blipFill>
                  <a:blip r:embed="rId3">
                    <a:extLst>
                      <a:ext uri="{28A0092B-C50C-407E-A947-70E740481C1C}">
                        <a14:useLocalDpi xmlns:a14="http://schemas.microsoft.com/office/drawing/2010/main" val="0"/>
                      </a:ext>
                    </a:extLst>
                  </a:blip>
                  <a:stretch>
                    <a:fillRect/>
                  </a:stretch>
                </pic:blipFill>
                <pic:spPr>
                  <a:xfrm>
                    <a:off x="0" y="0"/>
                    <a:ext cx="380365" cy="342900"/>
                  </a:xfrm>
                  <a:prstGeom prst="rect">
                    <a:avLst/>
                  </a:prstGeom>
                </pic:spPr>
              </pic:pic>
            </a:graphicData>
          </a:graphic>
          <wp14:sizeRelH relativeFrom="page">
            <wp14:pctWidth>0</wp14:pctWidth>
          </wp14:sizeRelH>
          <wp14:sizeRelV relativeFrom="page">
            <wp14:pctHeight>0</wp14:pctHeight>
          </wp14:sizeRelV>
        </wp:anchor>
      </w:drawing>
    </w:r>
    <w:r w:rsidRPr="003345BC">
      <w:rPr>
        <w:noProof/>
        <w:sz w:val="12"/>
        <w:szCs w:val="12"/>
      </w:rPr>
      <w:drawing>
        <wp:anchor distT="0" distB="0" distL="114300" distR="114300" simplePos="0" relativeHeight="251668480" behindDoc="1" locked="0" layoutInCell="1" allowOverlap="1" wp14:anchorId="3B8677F0" wp14:editId="30B401C3">
          <wp:simplePos x="0" y="0"/>
          <wp:positionH relativeFrom="column">
            <wp:posOffset>2124075</wp:posOffset>
          </wp:positionH>
          <wp:positionV relativeFrom="paragraph">
            <wp:posOffset>73025</wp:posOffset>
          </wp:positionV>
          <wp:extent cx="1485900" cy="2794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png"/>
                  <pic:cNvPicPr/>
                </pic:nvPicPr>
                <pic:blipFill>
                  <a:blip r:embed="rId4">
                    <a:extLst>
                      <a:ext uri="{28A0092B-C50C-407E-A947-70E740481C1C}">
                        <a14:useLocalDpi xmlns:a14="http://schemas.microsoft.com/office/drawing/2010/main" val="0"/>
                      </a:ext>
                    </a:extLst>
                  </a:blip>
                  <a:stretch>
                    <a:fillRect/>
                  </a:stretch>
                </pic:blipFill>
                <pic:spPr>
                  <a:xfrm>
                    <a:off x="0" y="0"/>
                    <a:ext cx="1485900" cy="279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2952C" w14:textId="77777777" w:rsidR="0011318D" w:rsidRDefault="0011318D" w:rsidP="00F06056">
      <w:pPr>
        <w:spacing w:after="0" w:line="240" w:lineRule="auto"/>
      </w:pPr>
      <w:r>
        <w:separator/>
      </w:r>
    </w:p>
  </w:footnote>
  <w:footnote w:type="continuationSeparator" w:id="0">
    <w:p w14:paraId="0DF11C1F" w14:textId="77777777" w:rsidR="0011318D" w:rsidRDefault="0011318D" w:rsidP="00F06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2C149" w14:textId="75B1AFCF" w:rsidR="0011318D" w:rsidRDefault="0011318D" w:rsidP="003915FF">
    <w:pPr>
      <w:pStyle w:val="Header"/>
      <w:tabs>
        <w:tab w:val="clear" w:pos="4680"/>
        <w:tab w:val="clear" w:pos="9360"/>
        <w:tab w:val="right" w:pos="10080"/>
      </w:tabs>
      <w:rPr>
        <w:sz w:val="48"/>
        <w:szCs w:val="48"/>
      </w:rPr>
    </w:pPr>
    <w:r w:rsidRPr="003915FF">
      <w:rPr>
        <w:noProof/>
        <w:sz w:val="48"/>
        <w:szCs w:val="48"/>
      </w:rPr>
      <w:drawing>
        <wp:anchor distT="0" distB="0" distL="114300" distR="114300" simplePos="0" relativeHeight="251662336" behindDoc="0" locked="0" layoutInCell="1" allowOverlap="1" wp14:anchorId="385D7005" wp14:editId="739F4F0C">
          <wp:simplePos x="0" y="0"/>
          <wp:positionH relativeFrom="column">
            <wp:posOffset>0</wp:posOffset>
          </wp:positionH>
          <wp:positionV relativeFrom="paragraph">
            <wp:posOffset>15240</wp:posOffset>
          </wp:positionV>
          <wp:extent cx="1859280" cy="579120"/>
          <wp:effectExtent l="0" t="0" r="7620" b="0"/>
          <wp:wrapNone/>
          <wp:docPr id="1" name="Picture 1" descr="iDigBio_Logo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gBio_Logo_RGB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8"/>
        <w:szCs w:val="48"/>
      </w:rPr>
      <w:tab/>
    </w:r>
    <w:proofErr w:type="gramStart"/>
    <w:r>
      <w:rPr>
        <w:sz w:val="48"/>
        <w:szCs w:val="48"/>
      </w:rPr>
      <w:t>iDigBio</w:t>
    </w:r>
    <w:proofErr w:type="gramEnd"/>
    <w:r>
      <w:rPr>
        <w:sz w:val="48"/>
        <w:szCs w:val="48"/>
      </w:rPr>
      <w:t xml:space="preserve"> </w:t>
    </w:r>
    <w:r w:rsidRPr="003915FF">
      <w:rPr>
        <w:sz w:val="48"/>
        <w:szCs w:val="48"/>
      </w:rPr>
      <w:t>Summit II</w:t>
    </w:r>
  </w:p>
  <w:p w14:paraId="7D1DC87C" w14:textId="77777777" w:rsidR="0011318D" w:rsidRPr="003915FF" w:rsidRDefault="0011318D" w:rsidP="003915FF">
    <w:pPr>
      <w:pStyle w:val="Header"/>
      <w:tabs>
        <w:tab w:val="clear" w:pos="4680"/>
        <w:tab w:val="clear" w:pos="9360"/>
        <w:tab w:val="right" w:pos="10080"/>
      </w:tabs>
      <w:rPr>
        <w:i/>
        <w:sz w:val="32"/>
        <w:szCs w:val="32"/>
      </w:rPr>
    </w:pPr>
    <w:r>
      <w:rPr>
        <w:i/>
        <w:sz w:val="32"/>
        <w:szCs w:val="32"/>
      </w:rPr>
      <w:tab/>
      <w:t>October 23-24, 2012</w:t>
    </w:r>
  </w:p>
  <w:p w14:paraId="7AA13B5F" w14:textId="77777777" w:rsidR="0011318D" w:rsidRPr="005D2349" w:rsidRDefault="00ED4E08" w:rsidP="00EA0447">
    <w:pPr>
      <w:pStyle w:val="Header"/>
      <w:tabs>
        <w:tab w:val="clear" w:pos="4680"/>
        <w:tab w:val="clear" w:pos="9360"/>
        <w:tab w:val="right" w:pos="10080"/>
      </w:tabs>
      <w:spacing w:after="120"/>
      <w:rPr>
        <w:sz w:val="16"/>
        <w:szCs w:val="16"/>
      </w:rPr>
    </w:pPr>
    <w:r>
      <w:rPr>
        <w:sz w:val="16"/>
        <w:szCs w:val="16"/>
      </w:rPr>
      <w:pict w14:anchorId="41A87A64">
        <v:rect id="_x0000_i1025" style="width:468pt;height:.5pt;mso-position-vertical:absolute" o:hralign="center" o:hrstd="t" o:hrnoshade="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BDA3" w14:textId="2C4594E2" w:rsidR="0011318D" w:rsidRDefault="0011318D" w:rsidP="003915FF">
    <w:pPr>
      <w:pStyle w:val="Header"/>
      <w:tabs>
        <w:tab w:val="clear" w:pos="4680"/>
        <w:tab w:val="clear" w:pos="9360"/>
        <w:tab w:val="right" w:pos="10080"/>
      </w:tabs>
      <w:rPr>
        <w:sz w:val="48"/>
        <w:szCs w:val="48"/>
      </w:rPr>
    </w:pPr>
    <w:r w:rsidRPr="003915FF">
      <w:rPr>
        <w:noProof/>
        <w:sz w:val="48"/>
        <w:szCs w:val="48"/>
      </w:rPr>
      <w:drawing>
        <wp:anchor distT="0" distB="0" distL="114300" distR="114300" simplePos="0" relativeHeight="251664384" behindDoc="0" locked="0" layoutInCell="1" allowOverlap="1" wp14:anchorId="0CC93A3A" wp14:editId="1ECB6F5B">
          <wp:simplePos x="0" y="0"/>
          <wp:positionH relativeFrom="column">
            <wp:posOffset>0</wp:posOffset>
          </wp:positionH>
          <wp:positionV relativeFrom="paragraph">
            <wp:posOffset>15240</wp:posOffset>
          </wp:positionV>
          <wp:extent cx="1859280" cy="579120"/>
          <wp:effectExtent l="0" t="0" r="7620" b="0"/>
          <wp:wrapNone/>
          <wp:docPr id="3" name="Picture 3" descr="iDigBio_Logo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gBio_Logo_RGB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8"/>
        <w:szCs w:val="48"/>
      </w:rPr>
      <w:tab/>
    </w:r>
    <w:proofErr w:type="gramStart"/>
    <w:r>
      <w:rPr>
        <w:sz w:val="48"/>
        <w:szCs w:val="48"/>
      </w:rPr>
      <w:t>iDigBio</w:t>
    </w:r>
    <w:proofErr w:type="gramEnd"/>
    <w:r>
      <w:rPr>
        <w:sz w:val="48"/>
        <w:szCs w:val="48"/>
      </w:rPr>
      <w:t xml:space="preserve"> </w:t>
    </w:r>
    <w:r w:rsidRPr="003915FF">
      <w:rPr>
        <w:sz w:val="48"/>
        <w:szCs w:val="48"/>
      </w:rPr>
      <w:t>Summit II</w:t>
    </w:r>
  </w:p>
  <w:p w14:paraId="5FFCD78D" w14:textId="77777777" w:rsidR="0011318D" w:rsidRPr="003915FF" w:rsidRDefault="0011318D" w:rsidP="003915FF">
    <w:pPr>
      <w:pStyle w:val="Header"/>
      <w:tabs>
        <w:tab w:val="clear" w:pos="4680"/>
        <w:tab w:val="clear" w:pos="9360"/>
        <w:tab w:val="right" w:pos="10080"/>
      </w:tabs>
      <w:rPr>
        <w:i/>
        <w:sz w:val="32"/>
        <w:szCs w:val="32"/>
      </w:rPr>
    </w:pPr>
    <w:r>
      <w:rPr>
        <w:i/>
        <w:sz w:val="32"/>
        <w:szCs w:val="32"/>
      </w:rPr>
      <w:tab/>
      <w:t>October 23-24, 2012</w:t>
    </w:r>
  </w:p>
  <w:p w14:paraId="01E6250D" w14:textId="77777777" w:rsidR="0011318D" w:rsidRPr="003915FF" w:rsidRDefault="00ED4E08" w:rsidP="003345BC">
    <w:pPr>
      <w:pStyle w:val="Header"/>
      <w:tabs>
        <w:tab w:val="clear" w:pos="4680"/>
        <w:tab w:val="clear" w:pos="9360"/>
        <w:tab w:val="right" w:pos="10080"/>
      </w:tabs>
      <w:rPr>
        <w:sz w:val="16"/>
        <w:szCs w:val="16"/>
      </w:rPr>
    </w:pPr>
    <w:r>
      <w:rPr>
        <w:sz w:val="16"/>
        <w:szCs w:val="16"/>
      </w:rPr>
      <w:pict w14:anchorId="7D7BB6F1">
        <v:rect id="_x0000_i1026" style="width:468pt;height:.5pt;mso-position-vertical:absolute" o:hralign="center" o:hrstd="t" o:hrnoshade="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1924"/>
    <w:multiLevelType w:val="hybridMultilevel"/>
    <w:tmpl w:val="5DC25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3493C"/>
    <w:multiLevelType w:val="multilevel"/>
    <w:tmpl w:val="9A0EB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FE5B61"/>
    <w:multiLevelType w:val="multilevel"/>
    <w:tmpl w:val="9A0EB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2CE5774"/>
    <w:multiLevelType w:val="multilevel"/>
    <w:tmpl w:val="B13E2B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nsid w:val="358D32A7"/>
    <w:multiLevelType w:val="hybridMultilevel"/>
    <w:tmpl w:val="D026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7C5F30"/>
    <w:multiLevelType w:val="hybridMultilevel"/>
    <w:tmpl w:val="EA78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5E44A6"/>
    <w:multiLevelType w:val="multilevel"/>
    <w:tmpl w:val="9A0EB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CD279F0"/>
    <w:multiLevelType w:val="hybridMultilevel"/>
    <w:tmpl w:val="98FA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6C067C"/>
    <w:multiLevelType w:val="hybridMultilevel"/>
    <w:tmpl w:val="CAEA1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BC14CB"/>
    <w:multiLevelType w:val="hybridMultilevel"/>
    <w:tmpl w:val="C0E83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8"/>
  </w:num>
  <w:num w:numId="4">
    <w:abstractNumId w:val="6"/>
  </w:num>
  <w:num w:numId="5">
    <w:abstractNumId w:val="3"/>
    <w:lvlOverride w:ilvl="0"/>
    <w:lvlOverride w:ilvl="1"/>
    <w:lvlOverride w:ilvl="2"/>
    <w:lvlOverride w:ilvl="3"/>
    <w:lvlOverride w:ilvl="4"/>
    <w:lvlOverride w:ilvl="5"/>
    <w:lvlOverride w:ilvl="6"/>
    <w:lvlOverride w:ilvl="7"/>
    <w:lvlOverride w:ilvl="8"/>
  </w:num>
  <w:num w:numId="6">
    <w:abstractNumId w:val="0"/>
  </w:num>
  <w:num w:numId="7">
    <w:abstractNumId w:val="1"/>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253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56"/>
    <w:rsid w:val="00012897"/>
    <w:rsid w:val="00047B27"/>
    <w:rsid w:val="000D0A2C"/>
    <w:rsid w:val="000D48BD"/>
    <w:rsid w:val="000E1535"/>
    <w:rsid w:val="0011318D"/>
    <w:rsid w:val="00166C98"/>
    <w:rsid w:val="001B285F"/>
    <w:rsid w:val="001E0C29"/>
    <w:rsid w:val="00213698"/>
    <w:rsid w:val="0021645B"/>
    <w:rsid w:val="002875E4"/>
    <w:rsid w:val="00295DDF"/>
    <w:rsid w:val="002A6614"/>
    <w:rsid w:val="003345BC"/>
    <w:rsid w:val="003915FF"/>
    <w:rsid w:val="003E2EB5"/>
    <w:rsid w:val="003E7C36"/>
    <w:rsid w:val="004348F4"/>
    <w:rsid w:val="00441C32"/>
    <w:rsid w:val="004640EC"/>
    <w:rsid w:val="00473EAC"/>
    <w:rsid w:val="00480231"/>
    <w:rsid w:val="0048163C"/>
    <w:rsid w:val="004A0B16"/>
    <w:rsid w:val="004E6B31"/>
    <w:rsid w:val="00561BC4"/>
    <w:rsid w:val="005B031A"/>
    <w:rsid w:val="005D2349"/>
    <w:rsid w:val="005F137C"/>
    <w:rsid w:val="0062794D"/>
    <w:rsid w:val="0063032B"/>
    <w:rsid w:val="00651CC0"/>
    <w:rsid w:val="00654103"/>
    <w:rsid w:val="00692608"/>
    <w:rsid w:val="006F5A70"/>
    <w:rsid w:val="0071295C"/>
    <w:rsid w:val="007301FD"/>
    <w:rsid w:val="00770796"/>
    <w:rsid w:val="00773DF2"/>
    <w:rsid w:val="00786643"/>
    <w:rsid w:val="007E7392"/>
    <w:rsid w:val="008108E9"/>
    <w:rsid w:val="0081394D"/>
    <w:rsid w:val="0084627E"/>
    <w:rsid w:val="00865BCD"/>
    <w:rsid w:val="0089415A"/>
    <w:rsid w:val="008A1CA0"/>
    <w:rsid w:val="008C36A7"/>
    <w:rsid w:val="00922B6F"/>
    <w:rsid w:val="0095131E"/>
    <w:rsid w:val="00956AC5"/>
    <w:rsid w:val="00992799"/>
    <w:rsid w:val="009E4EFA"/>
    <w:rsid w:val="009F11BF"/>
    <w:rsid w:val="00A1757D"/>
    <w:rsid w:val="00AA799C"/>
    <w:rsid w:val="00AC6130"/>
    <w:rsid w:val="00B02853"/>
    <w:rsid w:val="00B237F7"/>
    <w:rsid w:val="00B372CD"/>
    <w:rsid w:val="00BA2F52"/>
    <w:rsid w:val="00BB4B17"/>
    <w:rsid w:val="00BC09F7"/>
    <w:rsid w:val="00BE23AB"/>
    <w:rsid w:val="00C9136A"/>
    <w:rsid w:val="00CB2639"/>
    <w:rsid w:val="00CD6F4E"/>
    <w:rsid w:val="00D05686"/>
    <w:rsid w:val="00D33A83"/>
    <w:rsid w:val="00DE74B9"/>
    <w:rsid w:val="00DE78E7"/>
    <w:rsid w:val="00E3198B"/>
    <w:rsid w:val="00E62636"/>
    <w:rsid w:val="00E76C4A"/>
    <w:rsid w:val="00EA0447"/>
    <w:rsid w:val="00EC019A"/>
    <w:rsid w:val="00ED4E08"/>
    <w:rsid w:val="00F06056"/>
    <w:rsid w:val="00F760A6"/>
    <w:rsid w:val="00FD4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2"/>
    <o:shapelayout v:ext="edit">
      <o:idmap v:ext="edit" data="1"/>
    </o:shapelayout>
  </w:shapeDefaults>
  <w:decimalSymbol w:val="."/>
  <w:listSeparator w:val=","/>
  <w14:docId w14:val="189D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08"/>
    <w:pPr>
      <w:spacing w:after="120"/>
    </w:pPr>
  </w:style>
  <w:style w:type="paragraph" w:styleId="Heading1">
    <w:name w:val="heading 1"/>
    <w:basedOn w:val="Normal"/>
    <w:next w:val="Normal"/>
    <w:link w:val="Heading1Char"/>
    <w:uiPriority w:val="9"/>
    <w:qFormat/>
    <w:rsid w:val="002A6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36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6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6"/>
  </w:style>
  <w:style w:type="paragraph" w:styleId="Footer">
    <w:name w:val="footer"/>
    <w:basedOn w:val="Normal"/>
    <w:link w:val="FooterChar"/>
    <w:uiPriority w:val="99"/>
    <w:unhideWhenUsed/>
    <w:rsid w:val="00F0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6"/>
  </w:style>
  <w:style w:type="paragraph" w:styleId="BalloonText">
    <w:name w:val="Balloon Text"/>
    <w:basedOn w:val="Normal"/>
    <w:link w:val="BalloonTextChar"/>
    <w:uiPriority w:val="99"/>
    <w:semiHidden/>
    <w:unhideWhenUsed/>
    <w:rsid w:val="00F0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56"/>
    <w:rPr>
      <w:rFonts w:ascii="Tahoma" w:hAnsi="Tahoma" w:cs="Tahoma"/>
      <w:sz w:val="16"/>
      <w:szCs w:val="16"/>
    </w:rPr>
  </w:style>
  <w:style w:type="character" w:styleId="SubtleEmphasis">
    <w:name w:val="Subtle Emphasis"/>
    <w:basedOn w:val="DefaultParagraphFont"/>
    <w:uiPriority w:val="19"/>
    <w:qFormat/>
    <w:rsid w:val="003915FF"/>
    <w:rPr>
      <w:i/>
      <w:iCs/>
      <w:color w:val="808080" w:themeColor="text1" w:themeTint="7F"/>
    </w:rPr>
  </w:style>
  <w:style w:type="character" w:customStyle="1" w:styleId="Heading1Char">
    <w:name w:val="Heading 1 Char"/>
    <w:basedOn w:val="DefaultParagraphFont"/>
    <w:link w:val="Heading1"/>
    <w:uiPriority w:val="9"/>
    <w:rsid w:val="002A661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qFormat/>
    <w:rsid w:val="002A6614"/>
    <w:pPr>
      <w:ind w:left="720"/>
      <w:contextualSpacing/>
    </w:pPr>
  </w:style>
  <w:style w:type="table" w:styleId="TableGrid">
    <w:name w:val="Table Grid"/>
    <w:basedOn w:val="TableNormal"/>
    <w:uiPriority w:val="59"/>
    <w:rsid w:val="002A6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2A66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6614"/>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2A6614"/>
    <w:rPr>
      <w:b/>
      <w:bCs/>
      <w:smallCaps/>
      <w:spacing w:val="5"/>
    </w:rPr>
  </w:style>
  <w:style w:type="table" w:styleId="LightShading-Accent1">
    <w:name w:val="Light Shading Accent 1"/>
    <w:basedOn w:val="TableNormal"/>
    <w:uiPriority w:val="60"/>
    <w:rsid w:val="00561B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462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2136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369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13698"/>
    <w:rPr>
      <w:color w:val="0000FF" w:themeColor="hyperlink"/>
      <w:u w:val="single"/>
    </w:rPr>
  </w:style>
  <w:style w:type="character" w:styleId="FollowedHyperlink">
    <w:name w:val="FollowedHyperlink"/>
    <w:basedOn w:val="DefaultParagraphFont"/>
    <w:uiPriority w:val="99"/>
    <w:semiHidden/>
    <w:unhideWhenUsed/>
    <w:rsid w:val="004816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08"/>
    <w:pPr>
      <w:spacing w:after="120"/>
    </w:pPr>
  </w:style>
  <w:style w:type="paragraph" w:styleId="Heading1">
    <w:name w:val="heading 1"/>
    <w:basedOn w:val="Normal"/>
    <w:next w:val="Normal"/>
    <w:link w:val="Heading1Char"/>
    <w:uiPriority w:val="9"/>
    <w:qFormat/>
    <w:rsid w:val="002A6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36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6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6"/>
  </w:style>
  <w:style w:type="paragraph" w:styleId="Footer">
    <w:name w:val="footer"/>
    <w:basedOn w:val="Normal"/>
    <w:link w:val="FooterChar"/>
    <w:uiPriority w:val="99"/>
    <w:unhideWhenUsed/>
    <w:rsid w:val="00F0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6"/>
  </w:style>
  <w:style w:type="paragraph" w:styleId="BalloonText">
    <w:name w:val="Balloon Text"/>
    <w:basedOn w:val="Normal"/>
    <w:link w:val="BalloonTextChar"/>
    <w:uiPriority w:val="99"/>
    <w:semiHidden/>
    <w:unhideWhenUsed/>
    <w:rsid w:val="00F0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56"/>
    <w:rPr>
      <w:rFonts w:ascii="Tahoma" w:hAnsi="Tahoma" w:cs="Tahoma"/>
      <w:sz w:val="16"/>
      <w:szCs w:val="16"/>
    </w:rPr>
  </w:style>
  <w:style w:type="character" w:styleId="SubtleEmphasis">
    <w:name w:val="Subtle Emphasis"/>
    <w:basedOn w:val="DefaultParagraphFont"/>
    <w:uiPriority w:val="19"/>
    <w:qFormat/>
    <w:rsid w:val="003915FF"/>
    <w:rPr>
      <w:i/>
      <w:iCs/>
      <w:color w:val="808080" w:themeColor="text1" w:themeTint="7F"/>
    </w:rPr>
  </w:style>
  <w:style w:type="character" w:customStyle="1" w:styleId="Heading1Char">
    <w:name w:val="Heading 1 Char"/>
    <w:basedOn w:val="DefaultParagraphFont"/>
    <w:link w:val="Heading1"/>
    <w:uiPriority w:val="9"/>
    <w:rsid w:val="002A661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qFormat/>
    <w:rsid w:val="002A6614"/>
    <w:pPr>
      <w:ind w:left="720"/>
      <w:contextualSpacing/>
    </w:pPr>
  </w:style>
  <w:style w:type="table" w:styleId="TableGrid">
    <w:name w:val="Table Grid"/>
    <w:basedOn w:val="TableNormal"/>
    <w:uiPriority w:val="59"/>
    <w:rsid w:val="002A6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2A66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6614"/>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2A6614"/>
    <w:rPr>
      <w:b/>
      <w:bCs/>
      <w:smallCaps/>
      <w:spacing w:val="5"/>
    </w:rPr>
  </w:style>
  <w:style w:type="table" w:styleId="LightShading-Accent1">
    <w:name w:val="Light Shading Accent 1"/>
    <w:basedOn w:val="TableNormal"/>
    <w:uiPriority w:val="60"/>
    <w:rsid w:val="00561B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462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2136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369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13698"/>
    <w:rPr>
      <w:color w:val="0000FF" w:themeColor="hyperlink"/>
      <w:u w:val="single"/>
    </w:rPr>
  </w:style>
  <w:style w:type="character" w:styleId="FollowedHyperlink">
    <w:name w:val="FollowedHyperlink"/>
    <w:basedOn w:val="DefaultParagraphFont"/>
    <w:uiPriority w:val="99"/>
    <w:semiHidden/>
    <w:unhideWhenUsed/>
    <w:rsid w:val="00481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30312">
      <w:bodyDiv w:val="1"/>
      <w:marLeft w:val="0"/>
      <w:marRight w:val="0"/>
      <w:marTop w:val="0"/>
      <w:marBottom w:val="0"/>
      <w:divBdr>
        <w:top w:val="none" w:sz="0" w:space="0" w:color="auto"/>
        <w:left w:val="none" w:sz="0" w:space="0" w:color="auto"/>
        <w:bottom w:val="none" w:sz="0" w:space="0" w:color="auto"/>
        <w:right w:val="none" w:sz="0" w:space="0" w:color="auto"/>
      </w:divBdr>
    </w:div>
    <w:div w:id="127802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CA05-D6CF-40B2-B271-017DD22C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Jennings</dc:creator>
  <cp:lastModifiedBy>David Jennings</cp:lastModifiedBy>
  <cp:revision>13</cp:revision>
  <cp:lastPrinted>2012-08-31T13:27:00Z</cp:lastPrinted>
  <dcterms:created xsi:type="dcterms:W3CDTF">2012-10-16T18:58:00Z</dcterms:created>
  <dcterms:modified xsi:type="dcterms:W3CDTF">2012-11-02T18:54:00Z</dcterms:modified>
</cp:coreProperties>
</file>